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292</w:t>
      </w:r>
    </w:p>
    <w:p>
      <w:r>
        <w:t>Bundesgericht (BGE), 1970-06-24, DE</w:t>
      </w:r>
    </w:p>
    <w:p>
      <w:r>
        <w:rPr>
          <w:b/>
        </w:rPr>
        <w:t xml:space="preserve">Quelle: </w:t>
      </w:r>
      <w:r>
        <w:t>https://mcp.opencaselaw.ch/entscheid/bge_96 I 292</w:t>
      </w:r>
    </w:p>
    <w:p>
      <w:r>
        <w:t>FR: ATF 96 I 292</w:t>
      </w:r>
    </w:p>
    <w:p>
      <w:r>
        <w:t>IT: DTF 96 I 292</w:t>
      </w:r>
    </w:p>
    <w:p>
      <w:pPr>
        <w:pStyle w:val="Heading2"/>
      </w:pPr>
      <w:r>
        <w:t>Regeste</w:t>
      </w:r>
    </w:p>
    <w:p>
      <w:r>
        <w:t>Regeste Beizug besonderer Sachverständiger durch die Schätzungskommission (Art. 72 EntG, 22. lit. b und 97 OG, 5 VwG). Der Entscheid, durch den die Schätzungskommission eine Expertise anordnet, kann nicht durch Verwaltungsgerichtsbeschwerde an das Bundesgericht weitergezogen werden (Erw. 1). Unter welchen Voraussetzungen hat die Schätzungskommission "besondere Sachverständige" (Art. 47 Abs. 2 der VO für die Schätzungskommissionen) beizuziehen? (Erw. 2).</w:t>
      </w:r>
    </w:p>
    <w:p>
      <w:pPr>
        <w:pStyle w:val="Heading2"/>
      </w:pPr>
      <w:r>
        <w:t>Erwägungen</w:t>
      </w:r>
    </w:p>
    <w:p>
      <w:r>
        <w:rPr>
          <w:b/>
        </w:rPr>
        <w:t>E. 1</w:t>
      </w:r>
    </w:p>
    <w:p>
      <w:r>
        <w:t>Die ESchK verweist in der dem angefochtenen Entscheid beigefügten Rechtsmittelbelehrung auf Art. 106 rev. OG. Sie übersieht, dass diese Vorschrift nur die Beschwerdefrist, nicht dagegen die Zulässigkeit der Beschwerde regelt. Aus Art. 106 kann nur geschlossen werden, dass sich die Verwaltungsgerichtsbeschwerde auch gegen Zwischenverfügungen richten kann, nicht aber gegen welche. Dies ergibt sich aus Art. 97 OG , der auf Art. 5 des BG vom 20. Dezember 1968 über das Verwaltungsverfahren (VwG) verweist. Nach Art. 5 Abs. 1 VwG gelten als (anfechtbare) Verfügungen Anordnungen im Einzelfall über die dort unter lit. a) - c) aufgezählten Gegenstände. Eine Beweisverfügung, durch die eine Expertise angeordnet wird, fällt nicht unter diese Bestimmung. Art. 5 Abs. 2 VwG erwähnt zwar bei den ebenfalls als Verfügungen geltenden Entscheiden auch "Zwischenverfügungen (Art. 45)". Doch sind solche Zwischenverfügungen nur dann BGE 96 I 292 S. 295 mit Beschwerde anfechtbar, wenn sie die Voraussetzungen des vorangehenden Abs. 1 erfüllen, d.h. wenn sie die Begründung, Änderung oder Aufhebung von Rechten usw. zum Gegenstand haben, was bei der vorliegenden Beweisverfügung nicht zutrifft. Nach Abs. 1 des in Art. 5 Abs. 2 VwG erwähnten Art. 45 VwG sind übrigens verfahrensleitende und andere Zwischenverfügungen in einem der Endverfügung vorangehenden Verfahren nur dann selbständig durch Beschwerde anfechtbar, wenn sie einen nicht wieder gutzumachenden Nachteil bewirken können. Das ist beim angefochtenen Entscheid, der einzig die Anordnung einer Expertise zum Gegenstand hat, offensichtlich nicht der Fall (vgl. BGE 93 I 607 /8). Die Kosten der angeordneten Expertise stellen keinen solchen Nachteil dar. Dass gegen die Bestellung von Experten durch eine ESchK kein Rekursrecht besteht, hat das Bundesgericht übrigens schon unter der Herrschaft des EntG von 1850 entschieden (BGE 18 S. 62 E. 1). Die vorliegende, gegen die Anordnung einer Expertise gerichtete Verwaltungsgerichtsbeschwerde erweist sich daher als unzulässig, und es ist auf sie nicht einzutreten. Daran ändert auch der Umstand nichts, dass nach Art. 45 Abs. 2 lit. b VwG als selbständig anfechtbare Zwischenverfügungen auch solche "über den Ausstand" gelten. Der angefochtene Entscheid begründet zwar die angeordnete Expertise durch nicht der ESchK angehörende Experten damit, dass das Mitglied der ESchK, das die Begutachtung vornehmen könnte, gemäss Art. 22 lit. b OG in Ausstand zu treten hätte. Das Dispositiv des Entscheids enthält indes keine Anordnung über den Ausstand, und gegen die nicht rechtskraftfähigen Motive ist die Verwaltungsgerichtsbeschwerde nicht gegeben (GYGI, Verwaltungsrechtspflege und Verwaltungsverfahren im Bund S. 113).</w:t>
      </w:r>
    </w:p>
    <w:p>
      <w:r>
        <w:rPr>
          <w:b/>
        </w:rPr>
        <w:t>E. 2</w:t>
      </w:r>
    </w:p>
    <w:p>
      <w:r>
        <w:t>Obwohl auf die Beschwerde nicht einzutreten ist, erscheint die dem Bundesgericht durch sie zur Kenntnis gelangte Begründung des angefochtenen Entscheids als so abwegig, dass es angezeigt ist, aufgrund der dem Bundesgericht nach Art. 63 EntG zustehenden Aufsichtsgewalt dazu Stellung zu nehmen und der ESchK eine nochmalige Überprüfung ihres Entscheides zu empfehlen. Die Mitglieder und Ersatzmänner der Schätzungskommissionen sind Sachverständige, die in der Regel die erforderliche Schätzung selber vorzunehmen vermögen. Nur soweit dies BGE 96 I 292 S. 296 ausnahmsweise nicht zutrifft, sind besondere Sachverständige beizuziehen (Art. 47 Abs. 2 VO für die eidg. Schätzungskommissionen). Die Beachtung dieses Grundsatzes ist vor allem deshalb wichtig, weil der Beizug von aussenstehenden Sachverständigen regelmässig zu einer Verzögerung des Verfahrens führt, die eben dadurch vermieden werden kann und soll, dass aus den zur Auswahl stehenden Mitgliedern und Ersatzmänner der Schätzungskommissionen die geeignetsten beigezogen werden. Die Tätigkeit der sachverständigen Mitglieder der Schätzungskommissionen stellt einen Beitrag zur Urteilsfindung dar, und zwar auch insoweit, als diese Mitglieder mit der Vorprüfung von Fragen betraut werden und den Schätzungskommissionen hierüber schriftlich Bericht erstatten. Die ESchK hat daher Sinn und Zweck der gesetzlichen Ordnung verkannt, wenn sie den von ihr offenbar zu Recht als sachverständig betrachteten Ersatzmann W. Zimmer gerade deshalb nicht beauftragte, inbezug auf die Liegenschaft Senn die erforderlichen Feststellungen zu treffen und der ESchK Vorschläge für die Schätzung zu unterbreiten, weil er nachher in Ausstand zu treten hätte. Von einer solchen Ausstandspflicht kann keine Rede sein. Wer als Mitglied einer Behörde dieser Bericht erstattet, hat nicht im Sinne von Art. 22 lit. b OG "in anderer Stellung als Sachverständiger gehandelt". W. Zimmer hätte daher, wie zunächst in Aussicht genommen wurde, mit der Berichterstattung betraut werden sollen, denn die Voraussetzungen für den Beizug weiterer Sachverständiger sind solange nicht gegeben, als nicht Fragen zu prüfen sind, für welche allen Mitgliedern der ESchK die nötigen Kenntnisse abgehen.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